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Dr. Ahmed Huzayyin</w:t>
      </w:r>
    </w:p>
    <w:p w:rsidR="00000000" w:rsidDel="00000000" w:rsidP="00000000" w:rsidRDefault="00000000" w:rsidRPr="00000000" w14:paraId="00000002">
      <w:pPr>
        <w:rPr/>
      </w:pPr>
      <w:r w:rsidDel="00000000" w:rsidR="00000000" w:rsidRPr="00000000">
        <w:rPr>
          <w:rtl w:val="0"/>
        </w:rPr>
        <w:t xml:space="preserve">Director of the Eco-Industrial Department in Chemonics Egypt Consultants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Dr Ahmed Huzayyin is the director of the Eco-Industrial Department in Chemonics Egypt Consultants and an Associate Professor at Cairo University and an adjunct Professor at the University of Toronto in the field of energy systems and electrical power. He has extended experience in developing clean technology and reosurcey efficiency markets in MENA region and with experience covering Canada and China. His consultancy work focuses on industrial sustainability and green finance as well as private sector development. From academic perspective he specializes in quantum modeling and development of material for energy applications.</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