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jc w:val="both"/>
        <w:rPr>
          <w:b w:val="1"/>
          <w:sz w:val="34"/>
          <w:szCs w:val="34"/>
        </w:rPr>
      </w:pPr>
      <w:bookmarkStart w:colFirst="0" w:colLast="0" w:name="_bh6h5ni2y18n" w:id="0"/>
      <w:bookmarkEnd w:id="0"/>
      <w:r w:rsidDel="00000000" w:rsidR="00000000" w:rsidRPr="00000000">
        <w:rPr>
          <w:b w:val="1"/>
          <w:sz w:val="34"/>
          <w:szCs w:val="34"/>
          <w:rtl w:val="0"/>
        </w:rPr>
        <w:t xml:space="preserve">Mohamed El Gazzar</w:t>
      </w:r>
    </w:p>
    <w:p w:rsidR="00000000" w:rsidDel="00000000" w:rsidP="00000000" w:rsidRDefault="00000000" w:rsidRPr="00000000" w14:paraId="00000002">
      <w:pPr>
        <w:spacing w:after="240" w:before="240" w:lineRule="auto"/>
        <w:jc w:val="both"/>
        <w:rPr/>
      </w:pPr>
      <w:r w:rsidDel="00000000" w:rsidR="00000000" w:rsidRPr="00000000">
        <w:rPr>
          <w:rtl w:val="0"/>
        </w:rPr>
        <w:t xml:space="preserve">CEO of Abdul Latif Jameel Finance, Egypt</w:t>
      </w:r>
    </w:p>
    <w:p w:rsidR="00000000" w:rsidDel="00000000" w:rsidP="00000000" w:rsidRDefault="00000000" w:rsidRPr="00000000" w14:paraId="00000003">
      <w:pPr>
        <w:spacing w:after="240" w:before="240" w:lineRule="auto"/>
        <w:jc w:val="both"/>
        <w:rPr/>
      </w:pPr>
      <w:r w:rsidDel="00000000" w:rsidR="00000000" w:rsidRPr="00000000">
        <w:rPr>
          <w:rtl w:val="0"/>
        </w:rPr>
      </w:r>
    </w:p>
    <w:p w:rsidR="00000000" w:rsidDel="00000000" w:rsidP="00000000" w:rsidRDefault="00000000" w:rsidRPr="00000000" w14:paraId="00000004">
      <w:pPr>
        <w:spacing w:after="240" w:before="240" w:lineRule="auto"/>
        <w:jc w:val="both"/>
        <w:rPr/>
      </w:pPr>
      <w:r w:rsidDel="00000000" w:rsidR="00000000" w:rsidRPr="00000000">
        <w:rPr>
          <w:rtl w:val="0"/>
        </w:rPr>
        <w:t xml:space="preserve">Mohamed El Gazzar serves as Chief Executive Officer of</w:t>
      </w:r>
      <w:hyperlink r:id="rId6">
        <w:r w:rsidDel="00000000" w:rsidR="00000000" w:rsidRPr="00000000">
          <w:rPr>
            <w:rtl w:val="0"/>
          </w:rPr>
          <w:t xml:space="preserve"> </w:t>
        </w:r>
      </w:hyperlink>
      <w:hyperlink r:id="rId7">
        <w:r w:rsidDel="00000000" w:rsidR="00000000" w:rsidRPr="00000000">
          <w:rPr>
            <w:color w:val="1155cc"/>
            <w:u w:val="single"/>
            <w:rtl w:val="0"/>
          </w:rPr>
          <w:t xml:space="preserve">Abdul Latif Jameel Finance Egypt</w:t>
        </w:r>
      </w:hyperlink>
      <w:r w:rsidDel="00000000" w:rsidR="00000000" w:rsidRPr="00000000">
        <w:rPr>
          <w:rtl w:val="0"/>
        </w:rPr>
        <w:t xml:space="preserve"> part of</w:t>
      </w:r>
      <w:hyperlink r:id="rId8">
        <w:r w:rsidDel="00000000" w:rsidR="00000000" w:rsidRPr="00000000">
          <w:rPr>
            <w:rtl w:val="0"/>
          </w:rPr>
          <w:t xml:space="preserve"> </w:t>
        </w:r>
      </w:hyperlink>
      <w:hyperlink r:id="rId9">
        <w:r w:rsidDel="00000000" w:rsidR="00000000" w:rsidRPr="00000000">
          <w:rPr>
            <w:color w:val="1155cc"/>
            <w:u w:val="single"/>
            <w:rtl w:val="0"/>
          </w:rPr>
          <w:t xml:space="preserve">Abdul Latif Jameel</w:t>
        </w:r>
      </w:hyperlink>
      <w:r w:rsidDel="00000000" w:rsidR="00000000" w:rsidRPr="00000000">
        <w:rPr>
          <w:rtl w:val="0"/>
        </w:rPr>
        <w:t xml:space="preserve">, a collective of independent international, family-owned and diversified businesses, founded in 1945 by the late Abdul Latif Jameel.</w:t>
      </w:r>
    </w:p>
    <w:p w:rsidR="00000000" w:rsidDel="00000000" w:rsidP="00000000" w:rsidRDefault="00000000" w:rsidRPr="00000000" w14:paraId="00000005">
      <w:pPr>
        <w:spacing w:after="240" w:before="240" w:lineRule="auto"/>
        <w:jc w:val="both"/>
        <w:rPr/>
      </w:pPr>
      <w:r w:rsidDel="00000000" w:rsidR="00000000" w:rsidRPr="00000000">
        <w:rPr>
          <w:rtl w:val="0"/>
        </w:rPr>
        <w:t xml:space="preserve">Mohamed oversees all the operations and development of Abdul Latif Jameel’s financial services and insurance businesses across Egypt.</w:t>
      </w:r>
    </w:p>
    <w:p w:rsidR="00000000" w:rsidDel="00000000" w:rsidP="00000000" w:rsidRDefault="00000000" w:rsidRPr="00000000" w14:paraId="00000006">
      <w:pPr>
        <w:spacing w:after="240" w:before="240" w:lineRule="auto"/>
        <w:jc w:val="both"/>
        <w:rPr/>
      </w:pPr>
      <w:r w:rsidDel="00000000" w:rsidR="00000000" w:rsidRPr="00000000">
        <w:rPr>
          <w:rtl w:val="0"/>
        </w:rPr>
        <w:t xml:space="preserve">Prior to taking his current role, Mohamed was Managing Director, Consumer Finance of Cairo-based consumer finance player Tamweel Investment Holdings.</w:t>
      </w:r>
    </w:p>
    <w:p w:rsidR="00000000" w:rsidDel="00000000" w:rsidP="00000000" w:rsidRDefault="00000000" w:rsidRPr="00000000" w14:paraId="00000007">
      <w:pPr>
        <w:spacing w:after="240" w:before="240" w:lineRule="auto"/>
        <w:jc w:val="both"/>
        <w:rPr/>
      </w:pPr>
      <w:r w:rsidDel="00000000" w:rsidR="00000000" w:rsidRPr="00000000">
        <w:rPr>
          <w:rtl w:val="0"/>
        </w:rPr>
        <w:t xml:space="preserve">A veteran banker with over 26 years of experience in multinational and regional financial institutions including banks and NBFI, he has held a number of leadership positions at Alexbank, Intesa Sanpaolo group, Arab Banking Corporation, Credit Agricole, and Citibank.</w:t>
      </w:r>
    </w:p>
    <w:p w:rsidR="00000000" w:rsidDel="00000000" w:rsidP="00000000" w:rsidRDefault="00000000" w:rsidRPr="00000000" w14:paraId="00000008">
      <w:pPr>
        <w:spacing w:after="240" w:before="240" w:lineRule="auto"/>
        <w:jc w:val="both"/>
        <w:rPr/>
      </w:pPr>
      <w:r w:rsidDel="00000000" w:rsidR="00000000" w:rsidRPr="00000000">
        <w:rPr>
          <w:rtl w:val="0"/>
        </w:rPr>
        <w:t xml:space="preserve">Mohamed’s experience includes leading and implementing successful strategies in various fields of banking work in both the Egyptian and the GCC markets such as digital transformation, banking operation, product development &amp; marketing, sales, payments, and risk management.</w:t>
      </w:r>
    </w:p>
    <w:p w:rsidR="00000000" w:rsidDel="00000000" w:rsidP="00000000" w:rsidRDefault="00000000" w:rsidRPr="00000000" w14:paraId="00000009">
      <w:pPr>
        <w:spacing w:after="240" w:before="240" w:lineRule="auto"/>
        <w:jc w:val="both"/>
        <w:rPr/>
      </w:pPr>
      <w:r w:rsidDel="00000000" w:rsidR="00000000" w:rsidRPr="00000000">
        <w:rPr>
          <w:rtl w:val="0"/>
        </w:rPr>
        <w:t xml:space="preserve">Mohamed holds an MBA in strategic marketing from the Arab Academy ,a post graduate diploma in banking credit and risk management from the American University and is enrolled in the financial technologies DBA program at Arab Academy for Management, Banking and Financial Science In addition, he is a certified board member by the Egyptian Institute of Directors of the Egyptian Financial Supervisory Authority.</w:t>
      </w:r>
    </w:p>
    <w:p w:rsidR="00000000" w:rsidDel="00000000" w:rsidP="00000000" w:rsidRDefault="00000000" w:rsidRPr="00000000" w14:paraId="0000000A">
      <w:pPr>
        <w:spacing w:after="240" w:before="240" w:lineRule="auto"/>
        <w:jc w:val="both"/>
        <w:rPr/>
      </w:pPr>
      <w:r w:rsidDel="00000000" w:rsidR="00000000" w:rsidRPr="00000000">
        <w:rPr>
          <w:rtl w:val="0"/>
        </w:rPr>
        <w:t xml:space="preserve">Mohamed is fluent in Arabic and English.  </w:t>
      </w:r>
    </w:p>
    <w:p w:rsidR="00000000" w:rsidDel="00000000" w:rsidP="00000000" w:rsidRDefault="00000000" w:rsidRPr="00000000" w14:paraId="0000000B">
      <w:pPr>
        <w:spacing w:after="240" w:before="240" w:lineRule="auto"/>
        <w:jc w:val="both"/>
        <w:rPr/>
      </w:pPr>
      <w:r w:rsidDel="00000000" w:rsidR="00000000" w:rsidRPr="00000000">
        <w:rPr>
          <w:rtl w:val="0"/>
        </w:rPr>
        <w:t xml:space="preserve">Founded in 1945, and celebrating its 75th Anniversary in 2020, Abdul Latif Jameel is a private family-owned global investor and diversified business with interests that include</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investments</w:t>
        </w:r>
      </w:hyperlink>
      <w:r w:rsidDel="00000000" w:rsidR="00000000" w:rsidRPr="00000000">
        <w:rPr>
          <w:rtl w:val="0"/>
        </w:rPr>
        <w:t xml:space="preserve">, transportation and mobility, financial services,</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energy</w:t>
        </w:r>
      </w:hyperlink>
      <w:r w:rsidDel="00000000" w:rsidR="00000000" w:rsidRPr="00000000">
        <w:rPr>
          <w:rtl w:val="0"/>
        </w:rPr>
        <w:t xml:space="preserve">, and</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environmental services</w:t>
        </w:r>
      </w:hyperlink>
      <w:r w:rsidDel="00000000" w:rsidR="00000000" w:rsidRPr="00000000">
        <w:rPr>
          <w:rtl w:val="0"/>
        </w:rPr>
        <w:t xml:space="preserve">,</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health</w:t>
        </w:r>
      </w:hyperlink>
      <w:r w:rsidDel="00000000" w:rsidR="00000000" w:rsidRPr="00000000">
        <w:rPr>
          <w:rtl w:val="0"/>
        </w:rPr>
        <w:t xml:space="preserve">, and a diversified range of other operations from</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consumer products</w:t>
        </w:r>
      </w:hyperlink>
      <w:r w:rsidDel="00000000" w:rsidR="00000000" w:rsidRPr="00000000">
        <w:rPr>
          <w:rtl w:val="0"/>
        </w:rPr>
        <w:t xml:space="preserve">, and</w:t>
      </w:r>
      <w:hyperlink r:id="rId20">
        <w:r w:rsidDel="00000000" w:rsidR="00000000" w:rsidRPr="00000000">
          <w:rPr>
            <w:rtl w:val="0"/>
          </w:rPr>
          <w:t xml:space="preserve"> </w:t>
        </w:r>
      </w:hyperlink>
      <w:hyperlink r:id="rId21">
        <w:r w:rsidDel="00000000" w:rsidR="00000000" w:rsidRPr="00000000">
          <w:rPr>
            <w:color w:val="1155cc"/>
            <w:u w:val="single"/>
            <w:rtl w:val="0"/>
          </w:rPr>
          <w:t xml:space="preserve">property development</w:t>
        </w:r>
      </w:hyperlink>
      <w:r w:rsidDel="00000000" w:rsidR="00000000" w:rsidRPr="00000000">
        <w:rPr>
          <w:rtl w:val="0"/>
        </w:rPr>
        <w:t xml:space="preserve"> to</w:t>
      </w:r>
      <w:hyperlink r:id="rId22">
        <w:r w:rsidDel="00000000" w:rsidR="00000000" w:rsidRPr="00000000">
          <w:rPr>
            <w:rtl w:val="0"/>
          </w:rPr>
          <w:t xml:space="preserve"> </w:t>
        </w:r>
      </w:hyperlink>
      <w:hyperlink r:id="rId23">
        <w:r w:rsidDel="00000000" w:rsidR="00000000" w:rsidRPr="00000000">
          <w:rPr>
            <w:color w:val="1155cc"/>
            <w:u w:val="single"/>
            <w:rtl w:val="0"/>
          </w:rPr>
          <w:t xml:space="preserve">professional services</w:t>
        </w:r>
      </w:hyperlink>
      <w:r w:rsidDel="00000000" w:rsidR="00000000" w:rsidRPr="00000000">
        <w:rPr>
          <w:rtl w:val="0"/>
        </w:rPr>
        <w:t xml:space="preserve">.  With corporate representation offices around the globe, the business has an operational presence in around 30 countries on six continents and employs some 11,000 people of over 40 nationalities.</w:t>
      </w:r>
    </w:p>
    <w:p w:rsidR="00000000" w:rsidDel="00000000" w:rsidP="00000000" w:rsidRDefault="00000000" w:rsidRPr="00000000" w14:paraId="0000000C">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alj-properties.com/" TargetMode="External"/><Relationship Id="rId11" Type="http://schemas.openxmlformats.org/officeDocument/2006/relationships/hyperlink" Target="https://jimco.com/" TargetMode="External"/><Relationship Id="rId22" Type="http://schemas.openxmlformats.org/officeDocument/2006/relationships/hyperlink" Target="https://fourprinciples.com/" TargetMode="External"/><Relationship Id="rId10" Type="http://schemas.openxmlformats.org/officeDocument/2006/relationships/hyperlink" Target="https://jimco.com/" TargetMode="External"/><Relationship Id="rId21" Type="http://schemas.openxmlformats.org/officeDocument/2006/relationships/hyperlink" Target="https://alj-properties.com/" TargetMode="External"/><Relationship Id="rId13" Type="http://schemas.openxmlformats.org/officeDocument/2006/relationships/hyperlink" Target="https://frv.com/" TargetMode="External"/><Relationship Id="rId12" Type="http://schemas.openxmlformats.org/officeDocument/2006/relationships/hyperlink" Target="https://frv.com/" TargetMode="External"/><Relationship Id="rId23" Type="http://schemas.openxmlformats.org/officeDocument/2006/relationships/hyperlink" Target="https://fourprinciple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lj.com" TargetMode="External"/><Relationship Id="rId15" Type="http://schemas.openxmlformats.org/officeDocument/2006/relationships/hyperlink" Target="https://almar.com/" TargetMode="External"/><Relationship Id="rId14" Type="http://schemas.openxmlformats.org/officeDocument/2006/relationships/hyperlink" Target="https://almar.com/" TargetMode="External"/><Relationship Id="rId17" Type="http://schemas.openxmlformats.org/officeDocument/2006/relationships/hyperlink" Target="https://aljhealth.com/" TargetMode="External"/><Relationship Id="rId16" Type="http://schemas.openxmlformats.org/officeDocument/2006/relationships/hyperlink" Target="https://aljhealth.com/" TargetMode="External"/><Relationship Id="rId5" Type="http://schemas.openxmlformats.org/officeDocument/2006/relationships/styles" Target="styles.xml"/><Relationship Id="rId19" Type="http://schemas.openxmlformats.org/officeDocument/2006/relationships/hyperlink" Target="https://redsea.com/" TargetMode="External"/><Relationship Id="rId6" Type="http://schemas.openxmlformats.org/officeDocument/2006/relationships/hyperlink" Target="https://www.aljfinance.com.eg/" TargetMode="External"/><Relationship Id="rId18" Type="http://schemas.openxmlformats.org/officeDocument/2006/relationships/hyperlink" Target="https://redsea.com/" TargetMode="External"/><Relationship Id="rId7" Type="http://schemas.openxmlformats.org/officeDocument/2006/relationships/hyperlink" Target="https://www.aljfinance.com.eg/" TargetMode="External"/><Relationship Id="rId8" Type="http://schemas.openxmlformats.org/officeDocument/2006/relationships/hyperlink" Target="https://a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